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Dec 4 13:53:26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success is not universally defined, and achieving regional reference-like conditions may be costly</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Arguments on appropriate protective thresholds for biological integrity in urban landscapes have also been contentious</w:t>
      </w:r>
      <w:r>
        <w:t xml:space="preserve"> </w:t>
      </w:r>
      <w:r>
        <w:t xml:space="preserve">(Cuffney et al.</w:t>
      </w:r>
      <w:r>
        <w:t xml:space="preserve"> </w:t>
      </w:r>
      <w:hyperlink w:anchor="ref-Cuffney11">
        <w:r>
          <w:rPr>
            <w:rStyle w:val="Hyperlink"/>
          </w:rPr>
          <w:t xml:space="preserve">2011</w:t>
        </w:r>
      </w:hyperlink>
      <w:r>
        <w:t xml:space="preserve">)</w:t>
      </w:r>
      <w:r>
        <w:t xml:space="preserve">. A confounding factor for managing streams in developed landscapes is the extensive modification to streams for flood control or water conveyance.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BUILD THIS OUT TO DESCRIBE WHAT YOU MEAN BY CONSTRAINTS, INCLUDE EXAMPLE</w:t>
      </w:r>
      <w:r>
        <w:t xml:space="preserve"> </w:t>
      </w:r>
      <w:r>
        <w:t xml:space="preserve">Estimating the likely range of biological conditions as a function of landscape alteration could help prioritize where management actions are most likely to achieve intended outcomes, or conversely, where landscape alteration could limit management success in achieving biological integrity. Here, we define constrained streams as those where present landscapes are likely to limit biological integrity. Reference conditions for the biological community may be difficult to achieve with limited resources because of large-scale impacts from landscape alteration.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inform management priorities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The relationship between stream condition and watershed characteristics has been a critical concept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many of which have had goals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using StreamCat predictors. Expected CSCI scores were modelled using estimates of canal/ditch density, imperviousness, road density/crossings, and urban and agricultural land use for each stream segment (Table</w:t>
      </w:r>
      <w:r>
        <w:t xml:space="preserve"> </w:t>
      </w:r>
      <w:r>
        <w:t xml:space="preserve">1</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across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S3).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4</w:t>
      </w:r>
      <w:r>
        <w:t xml:space="preserve">, Figure S4).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S1).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1).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cosntrained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4"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8"/>
    <w:p>
      <w:pPr>
        <w:pStyle w:val="Bibliography"/>
      </w:pPr>
      <w:r>
        <w:t xml:space="preserve">Mazor, R. D., M. W. Beck, and J. Brown. 2018. “2017 Report on the SMC Regional Stream Survey.” 1029. Costa Mesa, California: Southern California Coastal Water Research Project.</w:t>
      </w:r>
    </w:p>
    <w:bookmarkEnd w:id="129"/>
    <w:bookmarkStart w:id="13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0"/>
    <w:bookmarkStart w:id="131" w:name="ref-McKay12"/>
    <w:p>
      <w:pPr>
        <w:pStyle w:val="Bibliography"/>
      </w:pPr>
      <w:r>
        <w:t xml:space="preserve">McKay, L., T. Bondelid, T. Dewald, J. Johnston, R. Moore, and A. Reah. 2012. “NHDPlus Version 2: User Guide.”</w:t>
      </w:r>
    </w:p>
    <w:bookmarkEnd w:id="131"/>
    <w:bookmarkStart w:id="132"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2"/>
    <w:bookmarkStart w:id="134"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3">
        <w:r>
          <w:rPr>
            <w:rStyle w:val="Hyperlink"/>
          </w:rPr>
          <w:t xml:space="preserve">https://CRAN.R-project.org/package=quantregForest</w:t>
        </w:r>
      </w:hyperlink>
      <w:r>
        <w:t xml:space="preserve">.</w:t>
      </w:r>
    </w:p>
    <w:bookmarkEnd w:id="134"/>
    <w:bookmarkStart w:id="135"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5"/>
    <w:bookmarkStart w:id="136"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6"/>
    <w:bookmarkStart w:id="138"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7">
        <w:r>
          <w:rPr>
            <w:rStyle w:val="Hyperlink"/>
          </w:rPr>
          <w:t xml:space="preserve">https://doi.org/10.1111/j.1365-2427.1987.tb01027.x</w:t>
        </w:r>
      </w:hyperlink>
      <w:r>
        <w:t xml:space="preserve">.</w:t>
      </w:r>
    </w:p>
    <w:bookmarkEnd w:id="138"/>
    <w:bookmarkStart w:id="140"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9">
        <w:r>
          <w:rPr>
            <w:rStyle w:val="Hyperlink"/>
          </w:rPr>
          <w:t xml:space="preserve">https://doi.org/10.1002/aqc.1010</w:t>
        </w:r>
      </w:hyperlink>
      <w:r>
        <w:t xml:space="preserve">.</w:t>
      </w:r>
    </w:p>
    <w:bookmarkEnd w:id="140"/>
    <w:bookmarkStart w:id="142"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1">
        <w:r>
          <w:rPr>
            <w:rStyle w:val="Hyperlink"/>
          </w:rPr>
          <w:t xml:space="preserve">https://www.waterboards.ca.gov/water_issues/programs/swamp/docs/reports/psa_smmry_rpt.pdf</w:t>
        </w:r>
      </w:hyperlink>
      <w:r>
        <w:t xml:space="preserve">.</w:t>
      </w:r>
    </w:p>
    <w:bookmarkEnd w:id="142"/>
    <w:bookmarkStart w:id="14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3"/>
    <w:bookmarkStart w:id="145"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4">
        <w:r>
          <w:rPr>
            <w:rStyle w:val="Hyperlink"/>
          </w:rPr>
          <w:t xml:space="preserve">https://doi.org/10.1111/j.1752-1688.2008.00280.x</w:t>
        </w:r>
      </w:hyperlink>
      <w:r>
        <w:t xml:space="preserve">.</w:t>
      </w:r>
    </w:p>
    <w:bookmarkEnd w:id="145"/>
    <w:bookmarkStart w:id="147"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6">
        <w:r>
          <w:rPr>
            <w:rStyle w:val="Hyperlink"/>
          </w:rPr>
          <w:t xml:space="preserve">https://doi.org/10.1016/j.foreco.2008.07.041</w:t>
        </w:r>
      </w:hyperlink>
      <w:r>
        <w:t xml:space="preserve">.</w:t>
      </w:r>
    </w:p>
    <w:bookmarkEnd w:id="147"/>
    <w:bookmarkStart w:id="148" w:name="ref-RDCT18"/>
    <w:p>
      <w:pPr>
        <w:pStyle w:val="Bibliography"/>
      </w:pPr>
      <w:r>
        <w:t xml:space="preserve">RDCT (R Development Core Team). 2018. “R: A language and environment for statistical computing, v3.5.1. R Foundation for Statistical Computing, Vienna, Austria.”</w:t>
      </w:r>
    </w:p>
    <w:bookmarkEnd w:id="148"/>
    <w:bookmarkStart w:id="150"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9">
        <w:r>
          <w:rPr>
            <w:rStyle w:val="Hyperlink"/>
          </w:rPr>
          <w:t xml:space="preserve">https://doi.org/10.1016/j.biocon.2008.07.014</w:t>
        </w:r>
      </w:hyperlink>
      <w:r>
        <w:t xml:space="preserve">.</w:t>
      </w:r>
    </w:p>
    <w:bookmarkEnd w:id="150"/>
    <w:bookmarkStart w:id="152"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1">
        <w:r>
          <w:rPr>
            <w:rStyle w:val="Hyperlink"/>
          </w:rPr>
          <w:t xml:space="preserve">https://www.waterboards.ca.gov/water_issues/programs/swamp/bioassessment/docs/physical_habitat_index_technical_memo.pdf</w:t>
        </w:r>
      </w:hyperlink>
      <w:r>
        <w:t xml:space="preserve">.</w:t>
      </w:r>
    </w:p>
    <w:bookmarkEnd w:id="152"/>
    <w:bookmarkStart w:id="15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3">
        <w:r>
          <w:rPr>
            <w:rStyle w:val="Hyperlink"/>
          </w:rPr>
          <w:t xml:space="preserve">https://doi.org/10.2307/1468175</w:t>
        </w:r>
      </w:hyperlink>
      <w:r>
        <w:t xml:space="preserve">.</w:t>
      </w:r>
    </w:p>
    <w:bookmarkEnd w:id="154"/>
    <w:bookmarkStart w:id="156"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55">
        <w:r>
          <w:rPr>
            <w:rStyle w:val="Hyperlink"/>
          </w:rPr>
          <w:t xml:space="preserve">https://doi.org/10.1046/j.1365-2427.1997.d01-540.x</w:t>
        </w:r>
      </w:hyperlink>
      <w:r>
        <w:t xml:space="preserve">.</w:t>
      </w:r>
    </w:p>
    <w:bookmarkEnd w:id="156"/>
    <w:bookmarkStart w:id="157"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7"/>
    <w:bookmarkStart w:id="15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8">
        <w:r>
          <w:rPr>
            <w:rStyle w:val="Hyperlink"/>
          </w:rPr>
          <w:t xml:space="preserve">https://doi.org/10.1111/gec3.12039</w:t>
        </w:r>
      </w:hyperlink>
      <w:r>
        <w:t xml:space="preserve">.</w:t>
      </w:r>
    </w:p>
    <w:bookmarkEnd w:id="159"/>
    <w:bookmarkStart w:id="16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0">
        <w:r>
          <w:rPr>
            <w:rStyle w:val="Hyperlink"/>
          </w:rPr>
          <w:t xml:space="preserve">https://doi.org/10.1007/s10661-010-1385-8</w:t>
        </w:r>
      </w:hyperlink>
      <w:r>
        <w:t xml:space="preserve">.</w:t>
      </w:r>
    </w:p>
    <w:bookmarkEnd w:id="161"/>
    <w:bookmarkStart w:id="163"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2">
        <w:r>
          <w:rPr>
            <w:rStyle w:val="Hyperlink"/>
          </w:rPr>
          <w:t xml:space="preserve">https://doi.org/10.1046/j.1365-2427.2001.00758.x</w:t>
        </w:r>
      </w:hyperlink>
      <w:r>
        <w:t xml:space="preserve">.</w:t>
      </w:r>
    </w:p>
    <w:bookmarkEnd w:id="163"/>
    <w:bookmarkStart w:id="165"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4">
        <w:r>
          <w:rPr>
            <w:rStyle w:val="Hyperlink"/>
          </w:rPr>
          <w:t xml:space="preserve">https://doi.org/10.1111/jawr.12035</w:t>
        </w:r>
      </w:hyperlink>
      <w:r>
        <w:t xml:space="preserve">.</w:t>
      </w:r>
    </w:p>
    <w:bookmarkEnd w:id="165"/>
    <w:bookmarkStart w:id="167"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6">
        <w:r>
          <w:rPr>
            <w:rStyle w:val="Hyperlink"/>
          </w:rPr>
          <w:t xml:space="preserve">https://doi.org/10.1002/eco.1869</w:t>
        </w:r>
      </w:hyperlink>
      <w:r>
        <w:t xml:space="preserve">.</w:t>
      </w:r>
    </w:p>
    <w:bookmarkEnd w:id="167"/>
    <w:bookmarkStart w:id="169"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8">
        <w:r>
          <w:rPr>
            <w:rStyle w:val="Hyperlink"/>
          </w:rPr>
          <w:t xml:space="preserve">https://doi.org/10.1890/1051-0761(2006)016[1267:SEFTEC]2.0.CO;2</w:t>
        </w:r>
      </w:hyperlink>
      <w:r>
        <w:t xml:space="preserve">.</w:t>
      </w:r>
    </w:p>
    <w:bookmarkEnd w:id="169"/>
    <w:bookmarkStart w:id="171"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0">
        <w:r>
          <w:rPr>
            <w:rStyle w:val="Hyperlink"/>
          </w:rPr>
          <w:t xml:space="preserve">https://doi.org/10.1046/j.1365-2427.1998.00272.x</w:t>
        </w:r>
      </w:hyperlink>
      <w:r>
        <w:t xml:space="preserve">.</w:t>
      </w:r>
    </w:p>
    <w:bookmarkEnd w:id="171"/>
    <w:bookmarkStart w:id="172"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2"/>
    <w:bookmarkStart w:id="173" w:name="ref-USGS99"/>
    <w:p>
      <w:pPr>
        <w:pStyle w:val="Bibliography"/>
      </w:pPr>
      <w:r>
        <w:t xml:space="preserve">USGS (US Geological Survey). 1999. “The quality of our nation’s waters: nutrients and pesticides.” Reston, Virginia.</w:t>
      </w:r>
    </w:p>
    <w:bookmarkEnd w:id="173"/>
    <w:bookmarkStart w:id="175"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4">
        <w:r>
          <w:rPr>
            <w:rStyle w:val="Hyperlink"/>
          </w:rPr>
          <w:t xml:space="preserve">https://doi.org/10.1023/A:1023374524254</w:t>
        </w:r>
      </w:hyperlink>
      <w:r>
        <w:t xml:space="preserve">.</w:t>
      </w:r>
    </w:p>
    <w:bookmarkEnd w:id="175"/>
    <w:bookmarkStart w:id="177"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6">
        <w:r>
          <w:rPr>
            <w:rStyle w:val="Hyperlink"/>
          </w:rPr>
          <w:t xml:space="preserve">https://doi.org/10.1111/jawr.12032</w:t>
        </w:r>
      </w:hyperlink>
      <w:r>
        <w:t xml:space="preserve">.</w:t>
      </w:r>
    </w:p>
    <w:bookmarkEnd w:id="177"/>
    <w:bookmarkStart w:id="179"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8">
        <w:r>
          <w:rPr>
            <w:rStyle w:val="Hyperlink"/>
          </w:rPr>
          <w:t xml:space="preserve">https://doi.org/10.1371/journal.pone.0090944</w:t>
        </w:r>
      </w:hyperlink>
      <w:r>
        <w:t xml:space="preserve">.</w:t>
      </w:r>
    </w:p>
    <w:bookmarkEnd w:id="179"/>
    <w:bookmarkStart w:id="181"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0">
        <w:r>
          <w:rPr>
            <w:rStyle w:val="Hyperlink"/>
          </w:rPr>
          <w:t xml:space="preserve">https://doi.org/10.1899/04-028.1</w:t>
        </w:r>
      </w:hyperlink>
      <w:r>
        <w:t xml:space="preserve">.</w:t>
      </w:r>
    </w:p>
    <w:bookmarkEnd w:id="181"/>
    <w:bookmarkStart w:id="183"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2">
        <w:r>
          <w:rPr>
            <w:rStyle w:val="Hyperlink"/>
          </w:rPr>
          <w:t xml:space="preserve">https://doi.org/10.1577/1548-8446(1997)022%3C0006:IOWLUO%3E2.0.CO;2</w:t>
        </w:r>
      </w:hyperlink>
      <w:r>
        <w:t xml:space="preserve">.</w:t>
      </w:r>
    </w:p>
    <w:bookmarkEnd w:id="183"/>
    <w:bookmarkEnd w:id="1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4"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80"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4"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80"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2018-12-05T18:07:49Z</dcterms:created>
  <dcterms:modified xsi:type="dcterms:W3CDTF">2018-12-05T18:07:49Z</dcterms:modified>
</cp:coreProperties>
</file>